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61B66" w14:textId="77777777" w:rsidR="00B66067" w:rsidRDefault="009301B1">
      <w:pPr>
        <w:spacing w:before="240" w:after="360"/>
      </w:pPr>
      <w:r>
        <w:rPr>
          <w:rFonts w:ascii="Arial" w:hAnsi="Arial"/>
          <w:b/>
          <w:color w:val="1F4E79"/>
          <w:sz w:val="40"/>
        </w:rPr>
        <w:t>GOVERNOR BRIEFING NOTE:</w:t>
      </w:r>
      <w:r>
        <w:rPr>
          <w:rFonts w:ascii="Arial" w:hAnsi="Arial"/>
          <w:b/>
          <w:color w:val="1F4E79"/>
          <w:sz w:val="40"/>
        </w:rPr>
        <w:br/>
        <w:t>PSHE &amp; RSHE CURRICULUM ASSURANCE</w:t>
      </w:r>
    </w:p>
    <w:p w14:paraId="2E45FBC9" w14:textId="77777777" w:rsidR="00B66067" w:rsidRDefault="009301B1">
      <w:pPr>
        <w:spacing w:after="80"/>
      </w:pPr>
      <w:r>
        <w:rPr>
          <w:rFonts w:ascii="Arial" w:hAnsi="Arial"/>
          <w:b/>
          <w:color w:val="1F4E79"/>
        </w:rPr>
        <w:t xml:space="preserve">To:         </w:t>
      </w:r>
      <w:r>
        <w:rPr>
          <w:rFonts w:ascii="Arial" w:hAnsi="Arial"/>
          <w:color w:val="333333"/>
        </w:rPr>
        <w:t>The Governing Body</w:t>
      </w:r>
    </w:p>
    <w:p w14:paraId="4DD91ECB" w14:textId="77777777" w:rsidR="00B66067" w:rsidRDefault="009301B1">
      <w:pPr>
        <w:spacing w:after="80"/>
      </w:pPr>
      <w:r>
        <w:rPr>
          <w:rFonts w:ascii="Arial" w:hAnsi="Arial"/>
          <w:b/>
          <w:color w:val="1F4E79"/>
        </w:rPr>
        <w:t xml:space="preserve">From:       </w:t>
      </w:r>
      <w:r>
        <w:rPr>
          <w:rFonts w:ascii="Arial" w:hAnsi="Arial"/>
          <w:color w:val="333333"/>
        </w:rPr>
        <w:t>[Insert Name/Role, e.g., PSHE Lead / Headteacher]</w:t>
      </w:r>
    </w:p>
    <w:p w14:paraId="1D7F243F" w14:textId="77777777" w:rsidR="00B66067" w:rsidRDefault="009301B1">
      <w:pPr>
        <w:spacing w:after="80"/>
      </w:pPr>
      <w:r>
        <w:rPr>
          <w:rFonts w:ascii="Arial" w:hAnsi="Arial"/>
          <w:b/>
          <w:color w:val="1F4E79"/>
        </w:rPr>
        <w:t xml:space="preserve">Date:       </w:t>
      </w:r>
      <w:r>
        <w:rPr>
          <w:rFonts w:ascii="Arial" w:hAnsi="Arial"/>
          <w:color w:val="333333"/>
        </w:rPr>
        <w:t>[Insert Date]</w:t>
      </w:r>
    </w:p>
    <w:p w14:paraId="319E37D7" w14:textId="77777777" w:rsidR="00B66067" w:rsidRDefault="009301B1">
      <w:pPr>
        <w:spacing w:after="80"/>
      </w:pPr>
      <w:r>
        <w:rPr>
          <w:rFonts w:ascii="Arial" w:hAnsi="Arial"/>
          <w:b/>
          <w:color w:val="1F4E79"/>
        </w:rPr>
        <w:t xml:space="preserve">Subject:    </w:t>
      </w:r>
      <w:r>
        <w:rPr>
          <w:rFonts w:ascii="Arial" w:hAnsi="Arial"/>
          <w:color w:val="333333"/>
        </w:rPr>
        <w:t>Implementation and Compliance of the 1decision Programme</w:t>
      </w:r>
    </w:p>
    <w:p w14:paraId="1DD0FA5D" w14:textId="77777777" w:rsidR="00B66067" w:rsidRDefault="00B66067">
      <w:pPr>
        <w:pBdr>
          <w:bottom w:val="single" w:sz="12" w:space="1" w:color="1F4E79"/>
        </w:pBdr>
        <w:spacing w:before="240" w:after="360"/>
      </w:pPr>
    </w:p>
    <w:p w14:paraId="752191A8" w14:textId="77777777" w:rsidR="00B66067" w:rsidRDefault="009301B1">
      <w:pPr>
        <w:keepNext/>
        <w:spacing w:before="320" w:after="120"/>
      </w:pPr>
      <w:r>
        <w:rPr>
          <w:rFonts w:ascii="Arial" w:hAnsi="Arial"/>
          <w:b/>
          <w:color w:val="1F4E79"/>
          <w:sz w:val="28"/>
        </w:rPr>
        <w:t>1. Purpose of this Report</w:t>
      </w:r>
    </w:p>
    <w:p w14:paraId="23DDCC00" w14:textId="77777777" w:rsidR="00B66067" w:rsidRDefault="009301B1">
      <w:pPr>
        <w:spacing w:after="120"/>
      </w:pPr>
      <w:r>
        <w:rPr>
          <w:rFonts w:ascii="Arial" w:hAnsi="Arial"/>
          <w:color w:val="333333"/>
        </w:rPr>
        <w:t>The purpose of this paper is to provide the Governing Body with formal, comprehensive assurance regarding the school's Personal, Social, Health, and Economic (PSHE) education and statutory Relationships, Sex, and Health Education (RSHE).</w:t>
      </w:r>
    </w:p>
    <w:p w14:paraId="0EE7DA1E" w14:textId="77777777" w:rsidR="00B66067" w:rsidRDefault="009301B1">
      <w:pPr>
        <w:spacing w:after="120"/>
      </w:pPr>
      <w:r>
        <w:rPr>
          <w:rFonts w:ascii="Arial" w:hAnsi="Arial"/>
          <w:color w:val="333333"/>
        </w:rPr>
        <w:t>As a school, we have strategically implemented the 1decision programme. This report outlines how 1decision not only ensures full statutory compliance with Department for Education (DfE) requirements but actively goes above and beyond standard framework expectations to deeply support our pupils' personal development, safety, and emotional wellbeing.</w:t>
      </w:r>
    </w:p>
    <w:p w14:paraId="6FA77AA0" w14:textId="77777777" w:rsidR="00B66067" w:rsidRDefault="009301B1">
      <w:pPr>
        <w:keepNext/>
        <w:spacing w:before="320" w:after="120"/>
      </w:pPr>
      <w:r>
        <w:rPr>
          <w:rFonts w:ascii="Arial" w:hAnsi="Arial"/>
          <w:b/>
          <w:color w:val="1F4E79"/>
          <w:sz w:val="28"/>
        </w:rPr>
        <w:t>2. Going 'Above and Beyond' Statutory RSHE</w:t>
      </w:r>
    </w:p>
    <w:p w14:paraId="07184224" w14:textId="77777777" w:rsidR="00B66067" w:rsidRDefault="009301B1">
      <w:pPr>
        <w:spacing w:after="120"/>
      </w:pPr>
      <w:r>
        <w:rPr>
          <w:rFonts w:ascii="Arial" w:hAnsi="Arial"/>
          <w:color w:val="333333"/>
        </w:rPr>
        <w:t>While statutory guidance outlines the structural baselines of what schools must legally cover, the 1decision programme provides an enriched, spiral curriculum that significantly exceeds these standards.</w:t>
      </w:r>
    </w:p>
    <w:p w14:paraId="48AE15DA" w14:textId="77777777" w:rsidR="00B66067" w:rsidRDefault="009301B1">
      <w:pPr>
        <w:spacing w:after="80"/>
        <w:ind w:left="360"/>
      </w:pPr>
      <w:r>
        <w:rPr>
          <w:rFonts w:ascii="Arial" w:hAnsi="Arial"/>
          <w:b/>
          <w:color w:val="1F4E79"/>
        </w:rPr>
        <w:t xml:space="preserve">•  </w:t>
      </w:r>
      <w:r>
        <w:rPr>
          <w:rFonts w:ascii="Arial" w:hAnsi="Arial"/>
          <w:b/>
          <w:color w:val="333333"/>
        </w:rPr>
        <w:t xml:space="preserve">Beyond Compliance: </w:t>
      </w:r>
      <w:r>
        <w:rPr>
          <w:rFonts w:ascii="Arial" w:hAnsi="Arial"/>
          <w:color w:val="333333"/>
        </w:rPr>
        <w:t>It moves away from simple 'tick-box' compliance by embedding complex critical thinking, real-life risk assessment, and active decision-making skills directly into every single module.</w:t>
      </w:r>
    </w:p>
    <w:p w14:paraId="59891D91" w14:textId="77777777" w:rsidR="00B66067" w:rsidRDefault="009301B1">
      <w:pPr>
        <w:spacing w:after="80"/>
        <w:ind w:left="360"/>
      </w:pPr>
      <w:r>
        <w:rPr>
          <w:rFonts w:ascii="Arial" w:hAnsi="Arial"/>
          <w:b/>
          <w:color w:val="1F4E79"/>
        </w:rPr>
        <w:t xml:space="preserve">•  </w:t>
      </w:r>
      <w:r>
        <w:rPr>
          <w:rFonts w:ascii="Arial" w:hAnsi="Arial"/>
          <w:b/>
          <w:color w:val="333333"/>
        </w:rPr>
        <w:t xml:space="preserve">Adaptability &amp; Complete Autonomy: </w:t>
      </w:r>
      <w:r>
        <w:rPr>
          <w:rFonts w:ascii="Arial" w:hAnsi="Arial"/>
          <w:color w:val="333333"/>
        </w:rPr>
        <w:t>A major institutional strength of 1decision is its complete flexibility. Unlike rigid out-of-the-box curriculums, we retain full pedagogical autonomy. We can edit, adapt, reorganize, and supplement the teaching resources where we see fit to perfectly align with our school's unique demographic, regional context, and localized student needs.</w:t>
      </w:r>
    </w:p>
    <w:p w14:paraId="7C40278D" w14:textId="77777777" w:rsidR="00B66067" w:rsidRDefault="009301B1">
      <w:pPr>
        <w:keepNext/>
        <w:spacing w:before="320" w:after="120"/>
      </w:pPr>
      <w:r>
        <w:rPr>
          <w:rFonts w:ascii="Arial" w:hAnsi="Arial"/>
          <w:b/>
          <w:color w:val="1F4E79"/>
          <w:sz w:val="28"/>
        </w:rPr>
        <w:t>3. Core Pillars of the 1decision Programme</w:t>
      </w:r>
    </w:p>
    <w:p w14:paraId="443A514C" w14:textId="77777777" w:rsidR="00B66067" w:rsidRDefault="009301B1">
      <w:pPr>
        <w:keepNext/>
        <w:spacing w:before="240" w:after="80"/>
      </w:pPr>
      <w:r>
        <w:rPr>
          <w:rFonts w:ascii="Arial" w:hAnsi="Arial"/>
          <w:b/>
          <w:color w:val="595959"/>
          <w:sz w:val="24"/>
        </w:rPr>
        <w:t>Deep Integration of Mental Health (The 6 Strands)</w:t>
      </w:r>
    </w:p>
    <w:p w14:paraId="0C4D9ADE" w14:textId="77777777" w:rsidR="00B66067" w:rsidRDefault="009301B1">
      <w:pPr>
        <w:spacing w:after="120"/>
      </w:pPr>
      <w:r>
        <w:rPr>
          <w:rFonts w:ascii="Arial" w:hAnsi="Arial"/>
          <w:color w:val="333333"/>
        </w:rPr>
        <w:t>Rather than treating mental health as an isolated, tokenistic topic taught only during specific awareness weeks, 1decision seamlessly weaves six core strands of mental health explicitly through its entire multi-year framework:</w:t>
      </w:r>
    </w:p>
    <w:p w14:paraId="183AEA5A" w14:textId="4EAE1A08" w:rsidR="00B66067" w:rsidRPr="00377FBE" w:rsidRDefault="009301B1">
      <w:pPr>
        <w:spacing w:after="80"/>
        <w:ind w:left="576"/>
      </w:pPr>
      <w:r w:rsidRPr="00377FBE">
        <w:rPr>
          <w:rFonts w:ascii="Arial" w:hAnsi="Arial"/>
          <w:b/>
        </w:rPr>
        <w:t xml:space="preserve">1. Emotional Literacy: </w:t>
      </w:r>
      <w:r w:rsidRPr="00377FBE">
        <w:rPr>
          <w:rFonts w:ascii="Arial" w:hAnsi="Arial"/>
        </w:rPr>
        <w:t>Giving pupils the precise, rich vocabulary required to accurately identify, name, and differentiate what they are feeling.</w:t>
      </w:r>
    </w:p>
    <w:p w14:paraId="273D3EE9" w14:textId="618B47E5" w:rsidR="00B66067" w:rsidRPr="00377FBE" w:rsidRDefault="009301B1">
      <w:pPr>
        <w:spacing w:after="80"/>
        <w:ind w:left="576"/>
      </w:pPr>
      <w:r w:rsidRPr="00377FBE">
        <w:rPr>
          <w:rFonts w:ascii="Arial" w:hAnsi="Arial"/>
          <w:b/>
        </w:rPr>
        <w:t>2.</w:t>
      </w:r>
      <w:r w:rsidR="00377FBE" w:rsidRPr="00377FBE">
        <w:rPr>
          <w:rFonts w:ascii="Arial" w:hAnsi="Arial"/>
          <w:b/>
        </w:rPr>
        <w:t xml:space="preserve"> </w:t>
      </w:r>
      <w:proofErr w:type="spellStart"/>
      <w:r w:rsidRPr="00377FBE">
        <w:rPr>
          <w:rFonts w:ascii="Arial" w:hAnsi="Arial"/>
          <w:b/>
        </w:rPr>
        <w:t>Normalising</w:t>
      </w:r>
      <w:proofErr w:type="spellEnd"/>
      <w:r w:rsidRPr="00377FBE">
        <w:rPr>
          <w:rFonts w:ascii="Arial" w:hAnsi="Arial"/>
          <w:b/>
        </w:rPr>
        <w:t xml:space="preserve"> Feelings: </w:t>
      </w:r>
      <w:r w:rsidRPr="00377FBE">
        <w:rPr>
          <w:rFonts w:ascii="Arial" w:hAnsi="Arial"/>
        </w:rPr>
        <w:t>Helping children understand that all emotions—including challenging feelings like anger, sadness, grief, and fear—are standard, healthy parts of the human experience.</w:t>
      </w:r>
    </w:p>
    <w:p w14:paraId="73A33DAB" w14:textId="6ECB3854" w:rsidR="00B66067" w:rsidRPr="00377FBE" w:rsidRDefault="009301B1">
      <w:pPr>
        <w:spacing w:after="80"/>
        <w:ind w:left="576"/>
      </w:pPr>
      <w:r w:rsidRPr="00377FBE">
        <w:rPr>
          <w:rFonts w:ascii="Arial" w:hAnsi="Arial"/>
          <w:b/>
        </w:rPr>
        <w:t>3.</w:t>
      </w:r>
      <w:r w:rsidR="00377FBE" w:rsidRPr="00377FBE">
        <w:rPr>
          <w:rFonts w:ascii="Arial" w:hAnsi="Arial"/>
          <w:b/>
        </w:rPr>
        <w:t xml:space="preserve"> </w:t>
      </w:r>
      <w:r w:rsidRPr="00377FBE">
        <w:rPr>
          <w:rFonts w:ascii="Arial" w:hAnsi="Arial"/>
          <w:b/>
        </w:rPr>
        <w:t xml:space="preserve">Expression &amp; Communication: </w:t>
      </w:r>
      <w:r w:rsidRPr="00377FBE">
        <w:rPr>
          <w:rFonts w:ascii="Arial" w:hAnsi="Arial"/>
        </w:rPr>
        <w:t>Providing safe, structured, and structured frameworks for pupils to voice their inner thoughts, seek clarity, and proactively advocate for themselves.</w:t>
      </w:r>
    </w:p>
    <w:p w14:paraId="5881BED5" w14:textId="0F133454" w:rsidR="00B66067" w:rsidRPr="00377FBE" w:rsidRDefault="009301B1">
      <w:pPr>
        <w:spacing w:after="80"/>
        <w:ind w:left="576"/>
      </w:pPr>
      <w:r w:rsidRPr="00377FBE">
        <w:rPr>
          <w:rFonts w:ascii="Arial" w:hAnsi="Arial"/>
          <w:b/>
        </w:rPr>
        <w:t>4.</w:t>
      </w:r>
      <w:r w:rsidR="00377FBE" w:rsidRPr="00377FBE">
        <w:rPr>
          <w:rFonts w:ascii="Arial" w:hAnsi="Arial"/>
          <w:b/>
        </w:rPr>
        <w:t xml:space="preserve"> </w:t>
      </w:r>
      <w:r w:rsidRPr="00377FBE">
        <w:rPr>
          <w:rFonts w:ascii="Arial" w:hAnsi="Arial"/>
          <w:b/>
        </w:rPr>
        <w:t xml:space="preserve">Self-Regulation: </w:t>
      </w:r>
      <w:r w:rsidRPr="00377FBE">
        <w:rPr>
          <w:rFonts w:ascii="Arial" w:hAnsi="Arial"/>
        </w:rPr>
        <w:t>Arming pupils with practical, real-world self-soothing and cognitive strategies to manage, navigate, and calm intense or overwhelming emotions.</w:t>
      </w:r>
    </w:p>
    <w:p w14:paraId="0482D902" w14:textId="056DA0BB" w:rsidR="00B66067" w:rsidRPr="00377FBE" w:rsidRDefault="009301B1">
      <w:pPr>
        <w:spacing w:after="80"/>
        <w:ind w:left="576"/>
      </w:pPr>
      <w:r w:rsidRPr="00377FBE">
        <w:rPr>
          <w:rFonts w:ascii="Arial" w:hAnsi="Arial"/>
          <w:b/>
        </w:rPr>
        <w:t>5</w:t>
      </w:r>
      <w:r w:rsidR="00377FBE" w:rsidRPr="00377FBE">
        <w:rPr>
          <w:rFonts w:ascii="Arial" w:hAnsi="Arial"/>
          <w:b/>
        </w:rPr>
        <w:t>.</w:t>
      </w:r>
      <w:r w:rsidRPr="00377FBE">
        <w:rPr>
          <w:rFonts w:ascii="Arial" w:hAnsi="Arial"/>
          <w:b/>
        </w:rPr>
        <w:t xml:space="preserve"> Resilience: </w:t>
      </w:r>
      <w:r w:rsidRPr="00377FBE">
        <w:rPr>
          <w:rFonts w:ascii="Arial" w:hAnsi="Arial"/>
        </w:rPr>
        <w:t>Cultivating the mental and emotional grit required to navigate everyday setbacks, adapt to change, and confidently bounce back from adverse challenges.</w:t>
      </w:r>
    </w:p>
    <w:p w14:paraId="2ACBDD39" w14:textId="7FC24ACE" w:rsidR="00B66067" w:rsidRDefault="009301B1">
      <w:pPr>
        <w:spacing w:after="80"/>
        <w:ind w:left="576"/>
      </w:pPr>
      <w:r w:rsidRPr="00377FBE">
        <w:rPr>
          <w:rFonts w:ascii="Arial" w:hAnsi="Arial"/>
          <w:b/>
        </w:rPr>
        <w:t>6.</w:t>
      </w:r>
      <w:r w:rsidR="00377FBE" w:rsidRPr="00377FBE">
        <w:rPr>
          <w:rFonts w:ascii="Arial" w:hAnsi="Arial"/>
          <w:b/>
        </w:rPr>
        <w:t xml:space="preserve"> </w:t>
      </w:r>
      <w:r w:rsidRPr="00377FBE">
        <w:rPr>
          <w:rFonts w:ascii="Arial" w:hAnsi="Arial"/>
          <w:b/>
        </w:rPr>
        <w:t>Physical &amp; Emotional Awareness</w:t>
      </w:r>
      <w:r w:rsidRPr="00377FBE">
        <w:rPr>
          <w:rFonts w:ascii="Arial" w:hAnsi="Arial"/>
          <w:b/>
          <w:color w:val="1F497D" w:themeColor="text2"/>
        </w:rPr>
        <w:t xml:space="preserve">: </w:t>
      </w:r>
      <w:r>
        <w:rPr>
          <w:rFonts w:ascii="Arial" w:hAnsi="Arial"/>
          <w:color w:val="333333"/>
        </w:rPr>
        <w:t>Helping children explicitly connect the dots between their minds and bodies, recognizing how psychological anxiety or stress manifests as a physical sensation.</w:t>
      </w:r>
    </w:p>
    <w:p w14:paraId="69F28FB9" w14:textId="77777777" w:rsidR="00B66067" w:rsidRDefault="009301B1">
      <w:pPr>
        <w:keepNext/>
        <w:spacing w:before="240" w:after="80"/>
      </w:pPr>
      <w:r>
        <w:rPr>
          <w:rFonts w:ascii="Arial" w:hAnsi="Arial"/>
          <w:b/>
          <w:color w:val="595959"/>
          <w:sz w:val="24"/>
        </w:rPr>
        <w:t>British Values &amp; SMSC Expectations</w:t>
      </w:r>
    </w:p>
    <w:p w14:paraId="19809901" w14:textId="77777777" w:rsidR="00B66067" w:rsidRDefault="009301B1">
      <w:pPr>
        <w:spacing w:after="120"/>
      </w:pPr>
      <w:r>
        <w:rPr>
          <w:rFonts w:ascii="Arial" w:hAnsi="Arial"/>
          <w:color w:val="333333"/>
        </w:rPr>
        <w:t>The programme acts as an organic vehicle for embedding fundamental British Values and Spiritual, Moral, Social, and Cultural (SMSC) development across all year groups:</w:t>
      </w:r>
    </w:p>
    <w:p w14:paraId="757A8B4F" w14:textId="77777777" w:rsidR="00B66067" w:rsidRDefault="009301B1">
      <w:pPr>
        <w:spacing w:after="80"/>
        <w:ind w:left="360"/>
      </w:pPr>
      <w:r>
        <w:rPr>
          <w:rFonts w:ascii="Arial" w:hAnsi="Arial"/>
          <w:b/>
          <w:color w:val="1F4E79"/>
        </w:rPr>
        <w:t xml:space="preserve">•  </w:t>
      </w:r>
      <w:r>
        <w:rPr>
          <w:rFonts w:ascii="Arial" w:hAnsi="Arial"/>
          <w:b/>
          <w:color w:val="333333"/>
        </w:rPr>
        <w:t xml:space="preserve">Democracy &amp; The Rule of Law: </w:t>
      </w:r>
      <w:r>
        <w:rPr>
          <w:rFonts w:ascii="Arial" w:hAnsi="Arial"/>
          <w:color w:val="333333"/>
        </w:rPr>
        <w:t>Built structurally into explicit modules concerning class/school rules, national laws, and the transparent consequences of individual choices.</w:t>
      </w:r>
    </w:p>
    <w:p w14:paraId="793F4EA1" w14:textId="77777777" w:rsidR="00B66067" w:rsidRDefault="009301B1">
      <w:pPr>
        <w:spacing w:after="80"/>
        <w:ind w:left="360"/>
      </w:pPr>
      <w:r>
        <w:rPr>
          <w:rFonts w:ascii="Arial" w:hAnsi="Arial"/>
          <w:b/>
          <w:color w:val="1F4E79"/>
        </w:rPr>
        <w:t xml:space="preserve">•  </w:t>
      </w:r>
      <w:r>
        <w:rPr>
          <w:rFonts w:ascii="Arial" w:hAnsi="Arial"/>
          <w:b/>
          <w:color w:val="333333"/>
        </w:rPr>
        <w:t xml:space="preserve">Individual Liberty &amp; Mutual Respect: </w:t>
      </w:r>
      <w:r>
        <w:rPr>
          <w:rFonts w:ascii="Arial" w:hAnsi="Arial"/>
          <w:color w:val="333333"/>
        </w:rPr>
        <w:t>Pupils are routinely challenged to respect alternative viewpoints, celebrate individuality, value human rights, and practice cross-cultural empathy.</w:t>
      </w:r>
    </w:p>
    <w:p w14:paraId="0CB87D4A" w14:textId="77777777" w:rsidR="00B66067" w:rsidRDefault="009301B1">
      <w:pPr>
        <w:spacing w:after="80"/>
        <w:ind w:left="360"/>
      </w:pPr>
      <w:r>
        <w:rPr>
          <w:rFonts w:ascii="Arial" w:hAnsi="Arial"/>
          <w:b/>
          <w:color w:val="1F4E79"/>
        </w:rPr>
        <w:t xml:space="preserve">•  </w:t>
      </w:r>
      <w:r>
        <w:rPr>
          <w:rFonts w:ascii="Arial" w:hAnsi="Arial"/>
          <w:b/>
          <w:color w:val="333333"/>
        </w:rPr>
        <w:t xml:space="preserve">SMSC Development: </w:t>
      </w:r>
      <w:r>
        <w:rPr>
          <w:rFonts w:ascii="Arial" w:hAnsi="Arial"/>
          <w:color w:val="333333"/>
        </w:rPr>
        <w:t>The highly interactive nature of the lessons encourages continuous moral reflection, collaborative social problem-solving, and a deep appreciation of diverse cultural backgrounds.</w:t>
      </w:r>
    </w:p>
    <w:p w14:paraId="1CAB2AAB" w14:textId="77777777" w:rsidR="00B66067" w:rsidRDefault="009301B1">
      <w:pPr>
        <w:keepNext/>
        <w:spacing w:before="240" w:after="80"/>
      </w:pPr>
      <w:r>
        <w:rPr>
          <w:rFonts w:ascii="Arial" w:hAnsi="Arial"/>
          <w:b/>
          <w:color w:val="595959"/>
          <w:sz w:val="24"/>
        </w:rPr>
        <w:t>Protected Characteristics (Age-Appropriate)</w:t>
      </w:r>
    </w:p>
    <w:p w14:paraId="6D90B118" w14:textId="77777777" w:rsidR="00B66067" w:rsidRDefault="009301B1">
      <w:pPr>
        <w:spacing w:after="120"/>
      </w:pPr>
      <w:r>
        <w:rPr>
          <w:rFonts w:ascii="Arial" w:hAnsi="Arial"/>
          <w:color w:val="333333"/>
        </w:rPr>
        <w:t>1decision addresses the Protected Characteristics (as outlined in the Equality Act 2010) in a highly sensitive, progressive, and age-appropriate manner. It proactively fosters an environment of authentic inclusivity from the earliest stages, ensuring pupils naturally understand diversity, human equality, and the civic importance of challenging discrimination.</w:t>
      </w:r>
    </w:p>
    <w:p w14:paraId="62E6D0CA" w14:textId="77777777" w:rsidR="00B66067" w:rsidRDefault="009301B1">
      <w:pPr>
        <w:keepNext/>
        <w:spacing w:before="320" w:after="120"/>
      </w:pPr>
      <w:r>
        <w:rPr>
          <w:rFonts w:ascii="Arial" w:hAnsi="Arial"/>
          <w:b/>
          <w:color w:val="1F4E79"/>
          <w:sz w:val="28"/>
        </w:rPr>
        <w:t>4. Pedagogy: Interesting, Immersive, and Inclusive</w:t>
      </w:r>
    </w:p>
    <w:p w14:paraId="4BE4C4F3" w14:textId="77777777" w:rsidR="00B66067" w:rsidRDefault="009301B1">
      <w:pPr>
        <w:spacing w:after="120"/>
      </w:pPr>
      <w:r>
        <w:rPr>
          <w:rFonts w:ascii="Arial" w:hAnsi="Arial"/>
          <w:color w:val="333333"/>
        </w:rPr>
        <w:t>The measurable success and student retention of 1decision relies heavily on its unique, high-quality delivery style:</w:t>
      </w:r>
    </w:p>
    <w:p w14:paraId="226489E0" w14:textId="77777777" w:rsidR="00B66067" w:rsidRDefault="009301B1">
      <w:pPr>
        <w:spacing w:after="80"/>
        <w:ind w:left="360"/>
      </w:pPr>
      <w:r>
        <w:rPr>
          <w:rFonts w:ascii="Arial" w:hAnsi="Arial"/>
          <w:b/>
          <w:color w:val="1F4E79"/>
        </w:rPr>
        <w:t xml:space="preserve">•  </w:t>
      </w:r>
      <w:r>
        <w:rPr>
          <w:rFonts w:ascii="Arial" w:hAnsi="Arial"/>
          <w:b/>
          <w:color w:val="333333"/>
        </w:rPr>
        <w:t xml:space="preserve">Immersive Video Content: </w:t>
      </w:r>
      <w:r>
        <w:rPr>
          <w:rFonts w:ascii="Arial" w:hAnsi="Arial"/>
          <w:color w:val="333333"/>
        </w:rPr>
        <w:t>The core of the curriculum features interactive videos with alternative endings. Pupils watch a character make a choice, witness the natural consequence unfold, and then 'rewind' the scenario to choose an alternative pathway. This provides a risk-free, safe simulation for children to navigate complex real-world choices.</w:t>
      </w:r>
    </w:p>
    <w:p w14:paraId="060A29ED" w14:textId="2D279746" w:rsidR="00B66067" w:rsidRDefault="009301B1">
      <w:pPr>
        <w:spacing w:after="80"/>
        <w:ind w:left="360"/>
      </w:pPr>
      <w:r>
        <w:rPr>
          <w:rFonts w:ascii="Arial" w:hAnsi="Arial"/>
          <w:b/>
          <w:color w:val="1F4E79"/>
        </w:rPr>
        <w:t xml:space="preserve">•  </w:t>
      </w:r>
      <w:r>
        <w:rPr>
          <w:rFonts w:ascii="Arial" w:hAnsi="Arial"/>
          <w:b/>
          <w:color w:val="333333"/>
        </w:rPr>
        <w:t xml:space="preserve">Inclusive Design: </w:t>
      </w:r>
      <w:r>
        <w:rPr>
          <w:rFonts w:ascii="Arial" w:hAnsi="Arial"/>
          <w:color w:val="333333"/>
        </w:rPr>
        <w:t>Resources are intensely visual, engaging, and systematically formatted to be accessible to all learners, ensuring full inclusion for pupils with Special Educational Needs and Disabilities (SEND) and those with English as an Additional Language (EAL)</w:t>
      </w:r>
      <w:r w:rsidR="00377FBE">
        <w:rPr>
          <w:rFonts w:ascii="Arial" w:hAnsi="Arial"/>
          <w:color w:val="333333"/>
        </w:rPr>
        <w:t>. All videos include subtitles</w:t>
      </w:r>
      <w:r>
        <w:rPr>
          <w:rFonts w:ascii="Arial" w:hAnsi="Arial"/>
          <w:color w:val="333333"/>
        </w:rPr>
        <w:t>.</w:t>
      </w:r>
    </w:p>
    <w:p w14:paraId="4EF70A84" w14:textId="77777777" w:rsidR="00B66067" w:rsidRDefault="009301B1">
      <w:pPr>
        <w:spacing w:after="80"/>
        <w:ind w:left="360"/>
      </w:pPr>
      <w:r>
        <w:rPr>
          <w:rFonts w:ascii="Arial" w:hAnsi="Arial"/>
          <w:b/>
          <w:color w:val="1F4E79"/>
        </w:rPr>
        <w:t xml:space="preserve">•  </w:t>
      </w:r>
      <w:r>
        <w:rPr>
          <w:rFonts w:ascii="Arial" w:hAnsi="Arial"/>
          <w:b/>
          <w:color w:val="333333"/>
        </w:rPr>
        <w:t xml:space="preserve">High Engagement: </w:t>
      </w:r>
      <w:r>
        <w:rPr>
          <w:rFonts w:ascii="Arial" w:hAnsi="Arial"/>
          <w:color w:val="333333"/>
        </w:rPr>
        <w:t>By employing modern, highly relatable characters and culturally current scenarios, the content avoids dry moralizing and resonates deeply with pupils, maximizing lesson engagement.</w:t>
      </w:r>
    </w:p>
    <w:p w14:paraId="765B443D" w14:textId="77777777" w:rsidR="00B66067" w:rsidRDefault="009301B1">
      <w:pPr>
        <w:keepNext/>
        <w:spacing w:before="320" w:after="120"/>
      </w:pPr>
      <w:r>
        <w:rPr>
          <w:rFonts w:ascii="Arial" w:hAnsi="Arial"/>
          <w:b/>
          <w:color w:val="1F4E79"/>
          <w:sz w:val="28"/>
        </w:rPr>
        <w:t>5. Built-In, Continuous Assessment</w:t>
      </w:r>
    </w:p>
    <w:p w14:paraId="2655D3A5" w14:textId="77777777" w:rsidR="00B66067" w:rsidRDefault="009301B1">
      <w:pPr>
        <w:spacing w:after="120"/>
      </w:pPr>
      <w:r>
        <w:rPr>
          <w:rFonts w:ascii="Arial" w:hAnsi="Arial"/>
          <w:color w:val="333333"/>
        </w:rPr>
        <w:t>A prominent limitation of many traditional PSHE and RSHE commercial packages is that assessment is treated as an afterthought or a superficial check, making actual progress difficult to systematically monitor. 1decision fundamentally differs by embedding robust assessment opportunities directly within the learning journey:</w:t>
      </w:r>
    </w:p>
    <w:p w14:paraId="45A5219B" w14:textId="77777777" w:rsidR="00B66067" w:rsidRDefault="009301B1">
      <w:pPr>
        <w:spacing w:after="80"/>
        <w:ind w:left="360"/>
      </w:pPr>
      <w:r>
        <w:rPr>
          <w:rFonts w:ascii="Arial" w:hAnsi="Arial"/>
          <w:b/>
          <w:color w:val="1F4E79"/>
        </w:rPr>
        <w:t xml:space="preserve">•  </w:t>
      </w:r>
      <w:r>
        <w:rPr>
          <w:rFonts w:ascii="Arial" w:hAnsi="Arial"/>
          <w:b/>
          <w:color w:val="333333"/>
        </w:rPr>
        <w:t xml:space="preserve">Baseline and Summative Checks: </w:t>
      </w:r>
      <w:r>
        <w:rPr>
          <w:rFonts w:ascii="Arial" w:hAnsi="Arial"/>
          <w:color w:val="333333"/>
        </w:rPr>
        <w:t>Staff can easily gauge and document pupils' baseline knowledge before a brand-new topic begins, and accurately measure progress and conceptual growth at the conclusion of the unit.</w:t>
      </w:r>
    </w:p>
    <w:p w14:paraId="6B0707C7" w14:textId="77777777" w:rsidR="00B66067" w:rsidRDefault="009301B1">
      <w:pPr>
        <w:spacing w:after="80"/>
        <w:ind w:left="360"/>
      </w:pPr>
      <w:r>
        <w:rPr>
          <w:rFonts w:ascii="Arial" w:hAnsi="Arial"/>
          <w:b/>
          <w:color w:val="1F4E79"/>
        </w:rPr>
        <w:t xml:space="preserve">•  </w:t>
      </w:r>
      <w:r>
        <w:rPr>
          <w:rFonts w:ascii="Arial" w:hAnsi="Arial"/>
          <w:b/>
          <w:color w:val="333333"/>
        </w:rPr>
        <w:t xml:space="preserve">Early Intervention: </w:t>
      </w:r>
      <w:r>
        <w:rPr>
          <w:rFonts w:ascii="Arial" w:hAnsi="Arial"/>
          <w:color w:val="333333"/>
        </w:rPr>
        <w:t>Because diagnostic checkpoints are embedded natively into the active framework of everyday lessons, teachers can immediately identify if specific children are struggling with a concept, displaying hidden vulnerabilities, or requiring targeted early intervention.</w:t>
      </w:r>
    </w:p>
    <w:p w14:paraId="07C260A5" w14:textId="0F3ADC69" w:rsidR="00B66067" w:rsidRDefault="009301B1">
      <w:pPr>
        <w:spacing w:after="80"/>
        <w:ind w:left="360"/>
      </w:pPr>
      <w:r>
        <w:rPr>
          <w:rFonts w:ascii="Arial" w:hAnsi="Arial"/>
          <w:b/>
          <w:color w:val="1F4E79"/>
        </w:rPr>
        <w:t xml:space="preserve">•  </w:t>
      </w:r>
      <w:r>
        <w:rPr>
          <w:rFonts w:ascii="Arial" w:hAnsi="Arial"/>
          <w:b/>
          <w:color w:val="333333"/>
        </w:rPr>
        <w:t xml:space="preserve">Evidence of Impact: </w:t>
      </w:r>
      <w:r>
        <w:rPr>
          <w:rFonts w:ascii="Arial" w:hAnsi="Arial"/>
          <w:color w:val="333333"/>
        </w:rPr>
        <w:t xml:space="preserve">This ongoing tracking structure provides the school with highly visible, tangible evidence of </w:t>
      </w:r>
      <w:proofErr w:type="gramStart"/>
      <w:r w:rsidR="00377FBE">
        <w:rPr>
          <w:rFonts w:ascii="Arial" w:hAnsi="Arial"/>
          <w:color w:val="333333"/>
        </w:rPr>
        <w:t>pupils</w:t>
      </w:r>
      <w:proofErr w:type="gramEnd"/>
      <w:r>
        <w:rPr>
          <w:rFonts w:ascii="Arial" w:hAnsi="Arial"/>
          <w:color w:val="333333"/>
        </w:rPr>
        <w:t xml:space="preserve"> progress over time, ensuring we can confidently demonstrate the distinct impact of our personal development curriculum to governors, parents, and external inspectors.</w:t>
      </w:r>
    </w:p>
    <w:p w14:paraId="47025D74" w14:textId="77777777" w:rsidR="00B66067" w:rsidRDefault="009301B1">
      <w:pPr>
        <w:keepNext/>
        <w:spacing w:before="320" w:after="120"/>
      </w:pPr>
      <w:r>
        <w:rPr>
          <w:rFonts w:ascii="Arial" w:hAnsi="Arial"/>
          <w:b/>
          <w:color w:val="1F4E79"/>
          <w:sz w:val="28"/>
        </w:rPr>
        <w:t>6. Summary for Governors</w:t>
      </w:r>
    </w:p>
    <w:tbl>
      <w:tblPr>
        <w:tblW w:w="0" w:type="auto"/>
        <w:jc w:val="center"/>
        <w:tblLook w:val="04A0" w:firstRow="1" w:lastRow="0" w:firstColumn="1" w:lastColumn="0" w:noHBand="0" w:noVBand="1"/>
      </w:tblPr>
      <w:tblGrid>
        <w:gridCol w:w="9360"/>
      </w:tblGrid>
      <w:tr w:rsidR="00B66067" w14:paraId="527CD97D" w14:textId="77777777">
        <w:trPr>
          <w:jc w:val="center"/>
        </w:trPr>
        <w:tc>
          <w:tcPr>
            <w:tcW w:w="9360" w:type="dxa"/>
            <w:tcBorders>
              <w:left w:val="single" w:sz="24" w:space="0" w:color="1F4E79"/>
            </w:tcBorders>
            <w:shd w:val="clear" w:color="auto" w:fill="F2F4F7"/>
            <w:tcMar>
              <w:top w:w="140" w:type="dxa"/>
              <w:left w:w="200" w:type="dxa"/>
              <w:bottom w:w="140" w:type="dxa"/>
              <w:right w:w="140" w:type="dxa"/>
            </w:tcMar>
          </w:tcPr>
          <w:p w14:paraId="40C7F7DE" w14:textId="77690CD6" w:rsidR="00B66067" w:rsidRDefault="009301B1">
            <w:pPr>
              <w:spacing w:before="80" w:after="80"/>
            </w:pPr>
            <w:r>
              <w:rPr>
                <w:rFonts w:ascii="Arial" w:hAnsi="Arial"/>
                <w:i/>
                <w:color w:val="505050"/>
                <w:sz w:val="21"/>
              </w:rPr>
              <w:t xml:space="preserve">By </w:t>
            </w:r>
            <w:proofErr w:type="spellStart"/>
            <w:r>
              <w:rPr>
                <w:rFonts w:ascii="Arial" w:hAnsi="Arial"/>
                <w:i/>
                <w:color w:val="505050"/>
                <w:sz w:val="21"/>
              </w:rPr>
              <w:t>utili</w:t>
            </w:r>
            <w:r w:rsidR="00377FBE">
              <w:rPr>
                <w:rFonts w:ascii="Arial" w:hAnsi="Arial"/>
                <w:i/>
                <w:color w:val="505050"/>
                <w:sz w:val="21"/>
              </w:rPr>
              <w:t>s</w:t>
            </w:r>
            <w:r>
              <w:rPr>
                <w:rFonts w:ascii="Arial" w:hAnsi="Arial"/>
                <w:i/>
                <w:color w:val="505050"/>
                <w:sz w:val="21"/>
              </w:rPr>
              <w:t>ing</w:t>
            </w:r>
            <w:proofErr w:type="spellEnd"/>
            <w:r>
              <w:rPr>
                <w:rFonts w:ascii="Arial" w:hAnsi="Arial"/>
                <w:i/>
                <w:color w:val="505050"/>
                <w:sz w:val="21"/>
              </w:rPr>
              <w:t xml:space="preserve"> the 1decision </w:t>
            </w:r>
            <w:proofErr w:type="spellStart"/>
            <w:r>
              <w:rPr>
                <w:rFonts w:ascii="Arial" w:hAnsi="Arial"/>
                <w:i/>
                <w:color w:val="505050"/>
                <w:sz w:val="21"/>
              </w:rPr>
              <w:t>programme</w:t>
            </w:r>
            <w:proofErr w:type="spellEnd"/>
            <w:r>
              <w:rPr>
                <w:rFonts w:ascii="Arial" w:hAnsi="Arial"/>
                <w:i/>
                <w:color w:val="505050"/>
                <w:sz w:val="21"/>
              </w:rPr>
              <w:t>, our school ensures that our personal development and wellbeing curriculum remains thoroughly legal, protective, progressive, and deeply impactful. It fully satisfies Ofsted's rigorous criteria for the 'Personal Development' judgement while ensuring our children are genuinely equipped with the life skills required to thrive in the modern world. Furthermore, our ability to freely customize the curriculum ensures it remains directly responsive to our community.</w:t>
            </w:r>
          </w:p>
        </w:tc>
      </w:tr>
    </w:tbl>
    <w:p w14:paraId="1AB06216" w14:textId="77777777" w:rsidR="00B66067" w:rsidRDefault="00B66067" w:rsidP="00377FBE">
      <w:pPr>
        <w:spacing w:after="120"/>
      </w:pPr>
    </w:p>
    <w:sectPr w:rsidR="00B66067"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78071706">
    <w:abstractNumId w:val="8"/>
  </w:num>
  <w:num w:numId="2" w16cid:durableId="2042632643">
    <w:abstractNumId w:val="6"/>
  </w:num>
  <w:num w:numId="3" w16cid:durableId="1833987213">
    <w:abstractNumId w:val="5"/>
  </w:num>
  <w:num w:numId="4" w16cid:durableId="1285766738">
    <w:abstractNumId w:val="4"/>
  </w:num>
  <w:num w:numId="5" w16cid:durableId="1222518773">
    <w:abstractNumId w:val="7"/>
  </w:num>
  <w:num w:numId="6" w16cid:durableId="1698508673">
    <w:abstractNumId w:val="3"/>
  </w:num>
  <w:num w:numId="7" w16cid:durableId="1807503157">
    <w:abstractNumId w:val="2"/>
  </w:num>
  <w:num w:numId="8" w16cid:durableId="1488084103">
    <w:abstractNumId w:val="1"/>
  </w:num>
  <w:num w:numId="9" w16cid:durableId="203942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77FBE"/>
    <w:rsid w:val="009301B1"/>
    <w:rsid w:val="00A1209F"/>
    <w:rsid w:val="00AA1D8D"/>
    <w:rsid w:val="00B47730"/>
    <w:rsid w:val="00B66067"/>
    <w:rsid w:val="00CB0664"/>
    <w:rsid w:val="00FC320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9F19B9"/>
  <w14:defaultImageDpi w14:val="300"/>
  <w15:docId w15:val="{CA46E206-64DE-4AAC-9E59-C7681CCA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Hayley Sherwood</cp:lastModifiedBy>
  <cp:revision>2</cp:revision>
  <dcterms:created xsi:type="dcterms:W3CDTF">2013-12-23T23:15:00Z</dcterms:created>
  <dcterms:modified xsi:type="dcterms:W3CDTF">2026-06-11T13:23:00Z</dcterms:modified>
  <cp:category/>
</cp:coreProperties>
</file>